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8D990" w14:textId="77777777" w:rsidR="00E92E14" w:rsidRDefault="00D566F1">
      <w:pPr>
        <w:pStyle w:val="Title"/>
      </w:pPr>
      <w:r>
        <w:t>Privacy</w:t>
      </w:r>
      <w:r>
        <w:rPr>
          <w:spacing w:val="-2"/>
        </w:rPr>
        <w:t xml:space="preserve"> </w:t>
      </w:r>
      <w:r>
        <w:t>Notice</w:t>
      </w:r>
      <w:r>
        <w:rPr>
          <w:spacing w:val="-1"/>
        </w:rPr>
        <w:t xml:space="preserve"> </w:t>
      </w:r>
      <w:r>
        <w:t>–</w:t>
      </w:r>
      <w:r>
        <w:rPr>
          <w:spacing w:val="-3"/>
        </w:rPr>
        <w:t xml:space="preserve"> </w:t>
      </w:r>
      <w:r w:rsidR="00FB6794">
        <w:t xml:space="preserve">National Data Opt-out </w:t>
      </w:r>
    </w:p>
    <w:p w14:paraId="144F4D7F" w14:textId="77777777" w:rsidR="00E92E14" w:rsidRDefault="00E92E14">
      <w:pPr>
        <w:pStyle w:val="BodyText"/>
        <w:spacing w:before="5"/>
        <w:rPr>
          <w:b/>
          <w:sz w:val="7"/>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7372"/>
      </w:tblGrid>
      <w:tr w:rsidR="00E92E14" w14:paraId="1C783F59" w14:textId="77777777">
        <w:trPr>
          <w:trHeight w:val="1012"/>
        </w:trPr>
        <w:tc>
          <w:tcPr>
            <w:tcW w:w="10601" w:type="dxa"/>
            <w:gridSpan w:val="2"/>
          </w:tcPr>
          <w:p w14:paraId="415CAEFE" w14:textId="267A56DC" w:rsidR="00647ACB" w:rsidRDefault="00D566F1" w:rsidP="00647ACB">
            <w:pPr>
              <w:pStyle w:val="TableParagraph"/>
              <w:spacing w:line="252" w:lineRule="exact"/>
              <w:ind w:right="177"/>
            </w:pPr>
            <w:r>
              <w:rPr>
                <w:b/>
              </w:rPr>
              <w:t>Plain</w:t>
            </w:r>
            <w:r>
              <w:rPr>
                <w:b/>
                <w:spacing w:val="-4"/>
              </w:rPr>
              <w:t xml:space="preserve"> </w:t>
            </w:r>
            <w:r>
              <w:rPr>
                <w:b/>
              </w:rPr>
              <w:t>English</w:t>
            </w:r>
            <w:r>
              <w:rPr>
                <w:b/>
                <w:spacing w:val="-7"/>
              </w:rPr>
              <w:t xml:space="preserve"> </w:t>
            </w:r>
            <w:r>
              <w:rPr>
                <w:b/>
                <w:spacing w:val="-2"/>
              </w:rPr>
              <w:t>explanation</w:t>
            </w:r>
            <w:r w:rsidR="00647ACB">
              <w:rPr>
                <w:b/>
                <w:spacing w:val="-2"/>
              </w:rPr>
              <w:t xml:space="preserve">: </w:t>
            </w:r>
            <w:r w:rsidR="00647ACB" w:rsidRPr="00647ACB">
              <w:rPr>
                <w:spacing w:val="-2"/>
              </w:rPr>
              <w:t>NHS NEL ICB</w:t>
            </w:r>
            <w:r w:rsidR="00647ACB">
              <w:rPr>
                <w:b/>
                <w:spacing w:val="-2"/>
              </w:rPr>
              <w:t xml:space="preserve"> </w:t>
            </w:r>
            <w:r w:rsidR="00647ACB">
              <w:t>is one of many organisations working in the health and care system to improve care for patients and the public</w:t>
            </w:r>
            <w:r w:rsidR="003D4B4B">
              <w:t>).</w:t>
            </w:r>
            <w:r w:rsidR="00647ACB">
              <w:t xml:space="preserve">  </w:t>
            </w:r>
          </w:p>
          <w:p w14:paraId="1BB22669" w14:textId="77777777" w:rsidR="00647ACB" w:rsidRDefault="00647ACB" w:rsidP="00647ACB">
            <w:pPr>
              <w:pStyle w:val="TableParagraph"/>
              <w:spacing w:line="252" w:lineRule="exact"/>
              <w:ind w:right="177"/>
            </w:pPr>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tc>
      </w:tr>
      <w:tr w:rsidR="00E92E14" w14:paraId="5A60EA37" w14:textId="77777777">
        <w:trPr>
          <w:trHeight w:val="1264"/>
        </w:trPr>
        <w:tc>
          <w:tcPr>
            <w:tcW w:w="3229" w:type="dxa"/>
          </w:tcPr>
          <w:p w14:paraId="4C22EB75" w14:textId="77777777" w:rsidR="00E92E14" w:rsidRDefault="00D566F1">
            <w:pPr>
              <w:pStyle w:val="TableParagraph"/>
            </w:pPr>
            <w:r>
              <w:t>1</w:t>
            </w:r>
            <w:r>
              <w:rPr>
                <w:b/>
              </w:rPr>
              <w:t>)</w:t>
            </w:r>
            <w:r>
              <w:rPr>
                <w:b/>
                <w:spacing w:val="-5"/>
              </w:rPr>
              <w:t xml:space="preserve"> </w:t>
            </w:r>
            <w:r>
              <w:rPr>
                <w:b/>
              </w:rPr>
              <w:t>Controller</w:t>
            </w:r>
            <w:r>
              <w:rPr>
                <w:b/>
                <w:spacing w:val="-6"/>
              </w:rPr>
              <w:t xml:space="preserve"> </w:t>
            </w:r>
            <w:r>
              <w:t>contact</w:t>
            </w:r>
            <w:r>
              <w:rPr>
                <w:spacing w:val="-6"/>
              </w:rPr>
              <w:t xml:space="preserve"> </w:t>
            </w:r>
            <w:r>
              <w:rPr>
                <w:spacing w:val="-2"/>
              </w:rPr>
              <w:t>details</w:t>
            </w:r>
          </w:p>
        </w:tc>
        <w:tc>
          <w:tcPr>
            <w:tcW w:w="7372" w:type="dxa"/>
          </w:tcPr>
          <w:p w14:paraId="72AFD532" w14:textId="77777777" w:rsidR="00FB6794" w:rsidRDefault="00D566F1">
            <w:pPr>
              <w:pStyle w:val="TableParagraph"/>
              <w:ind w:right="4099"/>
              <w:rPr>
                <w:spacing w:val="-12"/>
              </w:rPr>
            </w:pPr>
            <w:r>
              <w:t>NHS</w:t>
            </w:r>
            <w:r>
              <w:rPr>
                <w:spacing w:val="-10"/>
              </w:rPr>
              <w:t xml:space="preserve"> </w:t>
            </w:r>
            <w:r>
              <w:t>North</w:t>
            </w:r>
            <w:r>
              <w:rPr>
                <w:spacing w:val="-10"/>
              </w:rPr>
              <w:t xml:space="preserve"> </w:t>
            </w:r>
            <w:r>
              <w:t>East</w:t>
            </w:r>
            <w:r>
              <w:rPr>
                <w:spacing w:val="-8"/>
              </w:rPr>
              <w:t xml:space="preserve"> </w:t>
            </w:r>
            <w:r>
              <w:t>London</w:t>
            </w:r>
            <w:r w:rsidR="00FB6794">
              <w:rPr>
                <w:spacing w:val="-12"/>
              </w:rPr>
              <w:t xml:space="preserve"> ICB</w:t>
            </w:r>
          </w:p>
          <w:p w14:paraId="5E92DC5E" w14:textId="77777777" w:rsidR="00E92E14" w:rsidRDefault="00D566F1">
            <w:pPr>
              <w:pStyle w:val="TableParagraph"/>
              <w:ind w:right="4099"/>
            </w:pPr>
            <w:r>
              <w:t>4th Floor – Unex Tower</w:t>
            </w:r>
          </w:p>
          <w:p w14:paraId="431CF012" w14:textId="77777777" w:rsidR="00E92E14" w:rsidRDefault="00D566F1">
            <w:pPr>
              <w:pStyle w:val="TableParagraph"/>
              <w:ind w:right="5024"/>
            </w:pPr>
            <w:r>
              <w:t>5 Station Street London</w:t>
            </w:r>
            <w:r>
              <w:rPr>
                <w:spacing w:val="-16"/>
              </w:rPr>
              <w:t xml:space="preserve"> </w:t>
            </w:r>
            <w:r>
              <w:t>E15</w:t>
            </w:r>
            <w:r>
              <w:rPr>
                <w:spacing w:val="-15"/>
              </w:rPr>
              <w:t xml:space="preserve"> </w:t>
            </w:r>
            <w:r>
              <w:t>1DA</w:t>
            </w:r>
          </w:p>
          <w:p w14:paraId="4832A7EC" w14:textId="77777777" w:rsidR="00E92E14" w:rsidRDefault="00B207D2">
            <w:pPr>
              <w:pStyle w:val="TableParagraph"/>
              <w:spacing w:line="232" w:lineRule="exact"/>
            </w:pPr>
            <w:hyperlink r:id="rId5">
              <w:r w:rsidR="00D566F1">
                <w:rPr>
                  <w:color w:val="0000FF"/>
                  <w:spacing w:val="-2"/>
                  <w:u w:val="single" w:color="0000FF"/>
                </w:rPr>
                <w:t>www.northeastlondon.icb.nhs.uk</w:t>
              </w:r>
            </w:hyperlink>
          </w:p>
        </w:tc>
      </w:tr>
      <w:tr w:rsidR="00E92E14" w14:paraId="5B1A538D" w14:textId="77777777">
        <w:trPr>
          <w:trHeight w:val="505"/>
        </w:trPr>
        <w:tc>
          <w:tcPr>
            <w:tcW w:w="3229" w:type="dxa"/>
          </w:tcPr>
          <w:p w14:paraId="530625E2" w14:textId="77777777" w:rsidR="00E92E14" w:rsidRDefault="00D566F1">
            <w:pPr>
              <w:pStyle w:val="TableParagraph"/>
              <w:rPr>
                <w:b/>
              </w:rPr>
            </w:pPr>
            <w:r>
              <w:rPr>
                <w:b/>
              </w:rPr>
              <w:t>2)</w:t>
            </w:r>
            <w:r>
              <w:rPr>
                <w:b/>
                <w:spacing w:val="-4"/>
              </w:rPr>
              <w:t xml:space="preserve"> </w:t>
            </w:r>
            <w:r>
              <w:rPr>
                <w:b/>
              </w:rPr>
              <w:t>Data</w:t>
            </w:r>
            <w:r>
              <w:rPr>
                <w:b/>
                <w:spacing w:val="-5"/>
              </w:rPr>
              <w:t xml:space="preserve"> </w:t>
            </w:r>
            <w:r>
              <w:rPr>
                <w:b/>
              </w:rPr>
              <w:t>Protection</w:t>
            </w:r>
            <w:r>
              <w:rPr>
                <w:b/>
                <w:spacing w:val="-6"/>
              </w:rPr>
              <w:t xml:space="preserve"> </w:t>
            </w:r>
            <w:r>
              <w:rPr>
                <w:b/>
                <w:spacing w:val="-2"/>
              </w:rPr>
              <w:t>Officer</w:t>
            </w:r>
          </w:p>
          <w:p w14:paraId="2DE82A24" w14:textId="77777777" w:rsidR="00E92E14" w:rsidRDefault="00D566F1">
            <w:pPr>
              <w:pStyle w:val="TableParagraph"/>
              <w:spacing w:before="1" w:line="232" w:lineRule="exact"/>
            </w:pPr>
            <w:r>
              <w:t>contact</w:t>
            </w:r>
            <w:r>
              <w:rPr>
                <w:spacing w:val="-4"/>
              </w:rPr>
              <w:t xml:space="preserve"> </w:t>
            </w:r>
            <w:r>
              <w:rPr>
                <w:spacing w:val="-2"/>
              </w:rPr>
              <w:t>details</w:t>
            </w:r>
          </w:p>
        </w:tc>
        <w:tc>
          <w:tcPr>
            <w:tcW w:w="7372" w:type="dxa"/>
          </w:tcPr>
          <w:p w14:paraId="3EA57527" w14:textId="77777777" w:rsidR="00E92E14" w:rsidRDefault="00D566F1">
            <w:pPr>
              <w:pStyle w:val="TableParagraph"/>
            </w:pPr>
            <w:r>
              <w:t>NHS</w:t>
            </w:r>
            <w:r>
              <w:rPr>
                <w:spacing w:val="-4"/>
              </w:rPr>
              <w:t xml:space="preserve"> </w:t>
            </w:r>
            <w:r>
              <w:t>NEL</w:t>
            </w:r>
            <w:r>
              <w:rPr>
                <w:spacing w:val="-3"/>
              </w:rPr>
              <w:t xml:space="preserve"> </w:t>
            </w:r>
            <w:r>
              <w:rPr>
                <w:spacing w:val="-5"/>
              </w:rPr>
              <w:t>DPO</w:t>
            </w:r>
          </w:p>
          <w:p w14:paraId="6C8C3D58" w14:textId="77777777" w:rsidR="00E92E14" w:rsidRDefault="00B207D2">
            <w:pPr>
              <w:pStyle w:val="TableParagraph"/>
              <w:spacing w:before="1" w:line="232" w:lineRule="exact"/>
            </w:pPr>
            <w:hyperlink r:id="rId6">
              <w:r w:rsidR="00D566F1">
                <w:rPr>
                  <w:color w:val="0000FF"/>
                  <w:spacing w:val="-2"/>
                  <w:u w:val="single" w:color="0000FF"/>
                </w:rPr>
                <w:t>nelondonicb.ig@nhs.net</w:t>
              </w:r>
            </w:hyperlink>
            <w:r w:rsidR="00D566F1">
              <w:rPr>
                <w:color w:val="0000FF"/>
                <w:spacing w:val="-2"/>
                <w:u w:val="single" w:color="0000FF"/>
              </w:rPr>
              <w:t>.</w:t>
            </w:r>
          </w:p>
        </w:tc>
      </w:tr>
      <w:tr w:rsidR="00E92E14" w14:paraId="5CBF48E3" w14:textId="77777777">
        <w:trPr>
          <w:trHeight w:val="506"/>
        </w:trPr>
        <w:tc>
          <w:tcPr>
            <w:tcW w:w="3229" w:type="dxa"/>
          </w:tcPr>
          <w:p w14:paraId="1C04285C" w14:textId="77777777" w:rsidR="00E92E14" w:rsidRDefault="00D566F1">
            <w:pPr>
              <w:pStyle w:val="TableParagraph"/>
            </w:pPr>
            <w:r>
              <w:t>3)</w:t>
            </w:r>
            <w:r>
              <w:rPr>
                <w:spacing w:val="-1"/>
              </w:rPr>
              <w:t xml:space="preserve"> </w:t>
            </w:r>
            <w:r>
              <w:rPr>
                <w:b/>
              </w:rPr>
              <w:t>Purpose</w:t>
            </w:r>
            <w:r>
              <w:rPr>
                <w:b/>
                <w:spacing w:val="-4"/>
              </w:rPr>
              <w:t xml:space="preserve"> </w:t>
            </w:r>
            <w:r>
              <w:t>of</w:t>
            </w:r>
            <w:r>
              <w:rPr>
                <w:spacing w:val="-2"/>
              </w:rPr>
              <w:t xml:space="preserve"> </w:t>
            </w:r>
            <w:r>
              <w:t>the</w:t>
            </w:r>
            <w:r>
              <w:rPr>
                <w:spacing w:val="-3"/>
              </w:rPr>
              <w:t xml:space="preserve"> </w:t>
            </w:r>
            <w:r>
              <w:rPr>
                <w:spacing w:val="-2"/>
              </w:rPr>
              <w:t>sharing</w:t>
            </w:r>
          </w:p>
        </w:tc>
        <w:tc>
          <w:tcPr>
            <w:tcW w:w="7372" w:type="dxa"/>
          </w:tcPr>
          <w:p w14:paraId="668D069E" w14:textId="77777777" w:rsidR="00647ACB" w:rsidRDefault="00647ACB" w:rsidP="00647ACB">
            <w:pPr>
              <w:pStyle w:val="TableParagraph"/>
              <w:spacing w:line="252" w:lineRule="exact"/>
              <w:ind w:right="177"/>
            </w:pPr>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4B43DA40" w14:textId="77777777" w:rsidR="00647ACB" w:rsidRDefault="00647ACB" w:rsidP="00647ACB">
            <w:pPr>
              <w:pStyle w:val="TableParagraph"/>
              <w:spacing w:line="252" w:lineRule="exact"/>
              <w:ind w:right="177"/>
            </w:pPr>
            <w:r>
              <w:t>The information collected about you when you use these services can also be used and provided to other organisations for purposes beyond your individual care, for instance to help with:</w:t>
            </w:r>
          </w:p>
          <w:p w14:paraId="0518B6F3" w14:textId="77777777" w:rsidR="00647ACB" w:rsidRDefault="00647ACB" w:rsidP="00647ACB">
            <w:pPr>
              <w:pStyle w:val="TableParagraph"/>
              <w:spacing w:line="252" w:lineRule="exact"/>
              <w:ind w:right="177"/>
            </w:pPr>
          </w:p>
          <w:p w14:paraId="202F38C2" w14:textId="77777777" w:rsidR="00647ACB" w:rsidRDefault="00647ACB" w:rsidP="00647ACB">
            <w:pPr>
              <w:pStyle w:val="TableParagraph"/>
              <w:spacing w:line="252" w:lineRule="exact"/>
              <w:ind w:right="177"/>
            </w:pPr>
            <w:r>
              <w:t>•</w:t>
            </w:r>
            <w:r>
              <w:tab/>
              <w:t>improving the quality and standards of care provided</w:t>
            </w:r>
          </w:p>
          <w:p w14:paraId="4EA131F5" w14:textId="77777777" w:rsidR="00647ACB" w:rsidRDefault="00647ACB" w:rsidP="00647ACB">
            <w:pPr>
              <w:pStyle w:val="TableParagraph"/>
              <w:spacing w:line="252" w:lineRule="exact"/>
              <w:ind w:right="177"/>
            </w:pPr>
            <w:r>
              <w:t>•</w:t>
            </w:r>
            <w:r>
              <w:tab/>
              <w:t xml:space="preserve">research into the development of new treatments </w:t>
            </w:r>
          </w:p>
          <w:p w14:paraId="190668C9" w14:textId="77777777" w:rsidR="00647ACB" w:rsidRDefault="00647ACB" w:rsidP="00647ACB">
            <w:pPr>
              <w:pStyle w:val="TableParagraph"/>
              <w:spacing w:line="252" w:lineRule="exact"/>
              <w:ind w:right="177"/>
            </w:pPr>
            <w:r>
              <w:t>•</w:t>
            </w:r>
            <w:r>
              <w:tab/>
              <w:t>preventing illness and diseases</w:t>
            </w:r>
          </w:p>
          <w:p w14:paraId="25EEA643" w14:textId="77777777" w:rsidR="00647ACB" w:rsidRDefault="00647ACB" w:rsidP="00647ACB">
            <w:pPr>
              <w:pStyle w:val="TableParagraph"/>
              <w:spacing w:line="252" w:lineRule="exact"/>
              <w:ind w:right="177"/>
            </w:pPr>
            <w:r>
              <w:t>•</w:t>
            </w:r>
            <w:r>
              <w:tab/>
              <w:t>monitoring safety</w:t>
            </w:r>
          </w:p>
          <w:p w14:paraId="4F6D1781" w14:textId="77777777" w:rsidR="00647ACB" w:rsidRDefault="00647ACB" w:rsidP="00647ACB">
            <w:pPr>
              <w:pStyle w:val="TableParagraph"/>
              <w:spacing w:line="252" w:lineRule="exact"/>
              <w:ind w:right="177"/>
            </w:pPr>
            <w:r>
              <w:t>•</w:t>
            </w:r>
            <w:r>
              <w:tab/>
              <w:t>planning services</w:t>
            </w:r>
          </w:p>
          <w:p w14:paraId="272B8E6D" w14:textId="77777777" w:rsidR="00647ACB" w:rsidRDefault="00647ACB" w:rsidP="00647ACB">
            <w:pPr>
              <w:pStyle w:val="TableParagraph"/>
              <w:spacing w:line="252" w:lineRule="exact"/>
              <w:ind w:right="177"/>
            </w:pPr>
          </w:p>
          <w:p w14:paraId="4D03A7EA" w14:textId="77777777" w:rsidR="00647ACB" w:rsidRDefault="00647ACB" w:rsidP="00647ACB">
            <w:pPr>
              <w:pStyle w:val="TableParagraph"/>
              <w:spacing w:line="252" w:lineRule="exact"/>
              <w:ind w:right="177"/>
            </w:pPr>
            <w: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204D9E51" w14:textId="77777777" w:rsidR="00E92E14" w:rsidRDefault="00E92E14">
            <w:pPr>
              <w:pStyle w:val="TableParagraph"/>
            </w:pPr>
          </w:p>
        </w:tc>
      </w:tr>
      <w:tr w:rsidR="00E92E14" w14:paraId="2395048E" w14:textId="77777777" w:rsidTr="005A64CB">
        <w:trPr>
          <w:trHeight w:val="984"/>
        </w:trPr>
        <w:tc>
          <w:tcPr>
            <w:tcW w:w="3229" w:type="dxa"/>
          </w:tcPr>
          <w:p w14:paraId="315C26E6" w14:textId="77777777" w:rsidR="00E92E14" w:rsidRDefault="00D566F1">
            <w:pPr>
              <w:pStyle w:val="TableParagraph"/>
              <w:ind w:right="107"/>
              <w:rPr>
                <w:b/>
              </w:rPr>
            </w:pPr>
            <w:r>
              <w:t>4)</w:t>
            </w:r>
            <w:r>
              <w:rPr>
                <w:spacing w:val="-16"/>
              </w:rPr>
              <w:t xml:space="preserve"> </w:t>
            </w:r>
            <w:r>
              <w:rPr>
                <w:b/>
              </w:rPr>
              <w:t>Lawfulness</w:t>
            </w:r>
            <w:r>
              <w:rPr>
                <w:b/>
                <w:spacing w:val="-15"/>
              </w:rPr>
              <w:t xml:space="preserve"> </w:t>
            </w:r>
            <w:r>
              <w:rPr>
                <w:b/>
              </w:rPr>
              <w:t>Conditions and Special Categories</w:t>
            </w:r>
          </w:p>
        </w:tc>
        <w:tc>
          <w:tcPr>
            <w:tcW w:w="7372" w:type="dxa"/>
          </w:tcPr>
          <w:p w14:paraId="374D17C0" w14:textId="77777777" w:rsidR="00E92E14" w:rsidRDefault="00647ACB" w:rsidP="00647ACB">
            <w:pPr>
              <w:pStyle w:val="TableParagraph"/>
              <w:spacing w:line="252" w:lineRule="exact"/>
              <w:ind w:right="177"/>
            </w:pPr>
            <w:r>
              <w:t>Most of the time, anonymised data is used for research and planning so that you cannot be identified in which case your confidential patient information isn’t needed.</w:t>
            </w:r>
          </w:p>
        </w:tc>
      </w:tr>
      <w:tr w:rsidR="00E92E14" w14:paraId="5AC65E9A" w14:textId="77777777">
        <w:trPr>
          <w:trHeight w:val="3139"/>
        </w:trPr>
        <w:tc>
          <w:tcPr>
            <w:tcW w:w="3229" w:type="dxa"/>
          </w:tcPr>
          <w:p w14:paraId="55B78920" w14:textId="77777777" w:rsidR="00E92E14" w:rsidRDefault="00D566F1">
            <w:pPr>
              <w:pStyle w:val="TableParagraph"/>
              <w:spacing w:before="2"/>
              <w:rPr>
                <w:b/>
              </w:rPr>
            </w:pPr>
            <w:r>
              <w:t>6)</w:t>
            </w:r>
            <w:r>
              <w:rPr>
                <w:spacing w:val="-1"/>
              </w:rPr>
              <w:t xml:space="preserve"> </w:t>
            </w:r>
            <w:r>
              <w:rPr>
                <w:b/>
              </w:rPr>
              <w:t>Rights</w:t>
            </w:r>
            <w:r>
              <w:rPr>
                <w:b/>
                <w:spacing w:val="-4"/>
              </w:rPr>
              <w:t xml:space="preserve"> </w:t>
            </w:r>
            <w:r>
              <w:rPr>
                <w:b/>
              </w:rPr>
              <w:t>to</w:t>
            </w:r>
            <w:r>
              <w:rPr>
                <w:b/>
                <w:spacing w:val="-1"/>
              </w:rPr>
              <w:t xml:space="preserve"> </w:t>
            </w:r>
            <w:r>
              <w:rPr>
                <w:b/>
                <w:spacing w:val="-2"/>
              </w:rPr>
              <w:t>object</w:t>
            </w:r>
          </w:p>
        </w:tc>
        <w:tc>
          <w:tcPr>
            <w:tcW w:w="7372" w:type="dxa"/>
          </w:tcPr>
          <w:p w14:paraId="7D147939" w14:textId="77777777" w:rsidR="00647ACB" w:rsidRDefault="00647ACB" w:rsidP="00647ACB">
            <w:pPr>
              <w:pStyle w:val="TableParagraph"/>
              <w:spacing w:line="252" w:lineRule="exact"/>
              <w:ind w:right="177"/>
            </w:pPr>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57B6F6E" w14:textId="77777777" w:rsidR="00647ACB" w:rsidRDefault="00647ACB" w:rsidP="00647ACB">
            <w:pPr>
              <w:pStyle w:val="TableParagraph"/>
              <w:spacing w:line="252" w:lineRule="exact"/>
              <w:ind w:right="177"/>
            </w:pPr>
          </w:p>
          <w:p w14:paraId="3B6E7BD8" w14:textId="53B9B51A" w:rsidR="005F70CE" w:rsidRDefault="00647ACB" w:rsidP="00647ACB">
            <w:pPr>
              <w:pStyle w:val="TableParagraph"/>
              <w:spacing w:line="252" w:lineRule="exact"/>
              <w:ind w:right="177"/>
            </w:pPr>
            <w:r>
              <w:t xml:space="preserve">To find out more or to register your choice to opt out, please visit </w:t>
            </w:r>
          </w:p>
          <w:p w14:paraId="4B2EA9EF" w14:textId="65332B68" w:rsidR="005A64CB" w:rsidRDefault="00B207D2" w:rsidP="00647ACB">
            <w:pPr>
              <w:pStyle w:val="TableParagraph"/>
              <w:spacing w:line="252" w:lineRule="exact"/>
              <w:ind w:right="177"/>
            </w:pPr>
            <w:hyperlink r:id="rId7" w:history="1">
              <w:r w:rsidR="005A64CB" w:rsidRPr="00306A7A">
                <w:rPr>
                  <w:rStyle w:val="Hyperlink"/>
                </w:rPr>
                <w:t>https://www.nhs.uk/your-nhs-data-matters/</w:t>
              </w:r>
            </w:hyperlink>
          </w:p>
          <w:p w14:paraId="1891DFBE" w14:textId="77777777" w:rsidR="005F70CE" w:rsidRDefault="005F70CE" w:rsidP="00647ACB">
            <w:pPr>
              <w:pStyle w:val="TableParagraph"/>
              <w:spacing w:line="252" w:lineRule="exact"/>
              <w:ind w:right="177"/>
            </w:pPr>
          </w:p>
          <w:p w14:paraId="2F41406F" w14:textId="7DA2AB64" w:rsidR="00647ACB" w:rsidRDefault="00647ACB" w:rsidP="005F70CE">
            <w:pPr>
              <w:pStyle w:val="TableParagraph"/>
              <w:spacing w:line="252" w:lineRule="exact"/>
              <w:ind w:right="177"/>
            </w:pPr>
            <w:r>
              <w:t>On this web page you will:</w:t>
            </w:r>
          </w:p>
          <w:p w14:paraId="64960892" w14:textId="77777777" w:rsidR="005A64CB" w:rsidRDefault="005A64CB" w:rsidP="005F70CE">
            <w:pPr>
              <w:pStyle w:val="TableParagraph"/>
              <w:spacing w:line="252" w:lineRule="exact"/>
              <w:ind w:right="177"/>
            </w:pPr>
          </w:p>
          <w:p w14:paraId="7551B5F1" w14:textId="77777777" w:rsidR="00647ACB" w:rsidRDefault="00647ACB" w:rsidP="005F70CE">
            <w:pPr>
              <w:pStyle w:val="TableParagraph"/>
              <w:numPr>
                <w:ilvl w:val="0"/>
                <w:numId w:val="2"/>
              </w:numPr>
              <w:spacing w:line="252" w:lineRule="exact"/>
              <w:ind w:right="177"/>
            </w:pPr>
            <w:r>
              <w:t>See what is meant by confidential patient information</w:t>
            </w:r>
          </w:p>
          <w:p w14:paraId="5ABDD3AA" w14:textId="77777777" w:rsidR="005F70CE" w:rsidRDefault="00647ACB" w:rsidP="00647ACB">
            <w:pPr>
              <w:pStyle w:val="TableParagraph"/>
              <w:numPr>
                <w:ilvl w:val="0"/>
                <w:numId w:val="2"/>
              </w:numPr>
              <w:spacing w:line="252" w:lineRule="exact"/>
              <w:ind w:right="177"/>
            </w:pPr>
            <w:r>
              <w:t>Find examples of when confidential patient information is used for individual care and examples of when it is used for purposes beyond individual care</w:t>
            </w:r>
          </w:p>
          <w:p w14:paraId="3F6DF700" w14:textId="77777777" w:rsidR="00647ACB" w:rsidRDefault="00647ACB" w:rsidP="005F70CE">
            <w:pPr>
              <w:pStyle w:val="TableParagraph"/>
              <w:numPr>
                <w:ilvl w:val="0"/>
                <w:numId w:val="2"/>
              </w:numPr>
              <w:spacing w:line="252" w:lineRule="exact"/>
              <w:ind w:right="177"/>
            </w:pPr>
            <w:r>
              <w:t>Find out more about the benefits of sharing data</w:t>
            </w:r>
          </w:p>
          <w:p w14:paraId="78A99775" w14:textId="77777777" w:rsidR="00647ACB" w:rsidRDefault="00647ACB" w:rsidP="005F70CE">
            <w:pPr>
              <w:pStyle w:val="TableParagraph"/>
              <w:numPr>
                <w:ilvl w:val="0"/>
                <w:numId w:val="2"/>
              </w:numPr>
              <w:spacing w:line="252" w:lineRule="exact"/>
              <w:ind w:right="177"/>
            </w:pPr>
            <w:r>
              <w:t>Understand more about who uses the data</w:t>
            </w:r>
          </w:p>
          <w:p w14:paraId="1D246941" w14:textId="77777777" w:rsidR="00647ACB" w:rsidRDefault="00647ACB" w:rsidP="005F70CE">
            <w:pPr>
              <w:pStyle w:val="TableParagraph"/>
              <w:numPr>
                <w:ilvl w:val="0"/>
                <w:numId w:val="2"/>
              </w:numPr>
              <w:spacing w:line="252" w:lineRule="exact"/>
              <w:ind w:right="177"/>
            </w:pPr>
            <w:r>
              <w:t>Find out how your data is protected</w:t>
            </w:r>
          </w:p>
          <w:p w14:paraId="18E69EEF" w14:textId="77777777" w:rsidR="00647ACB" w:rsidRDefault="00647ACB" w:rsidP="005F70CE">
            <w:pPr>
              <w:pStyle w:val="TableParagraph"/>
              <w:numPr>
                <w:ilvl w:val="0"/>
                <w:numId w:val="2"/>
              </w:numPr>
              <w:spacing w:line="252" w:lineRule="exact"/>
              <w:ind w:right="177"/>
            </w:pPr>
            <w:r>
              <w:t>Be able to access the system to view, set or change your opt-out setting</w:t>
            </w:r>
          </w:p>
          <w:p w14:paraId="626BF2C4" w14:textId="62B40F4A" w:rsidR="00647ACB" w:rsidRDefault="00647ACB" w:rsidP="005F70CE">
            <w:pPr>
              <w:pStyle w:val="TableParagraph"/>
              <w:numPr>
                <w:ilvl w:val="0"/>
                <w:numId w:val="2"/>
              </w:numPr>
              <w:spacing w:line="252" w:lineRule="exact"/>
              <w:ind w:right="177"/>
            </w:pPr>
            <w:r>
              <w:t xml:space="preserve">Find the contact telephone number if you want to know any more or to set/change </w:t>
            </w:r>
            <w:r w:rsidR="005A64CB">
              <w:t>your</w:t>
            </w:r>
            <w:r>
              <w:t xml:space="preserve"> opt-out by phone </w:t>
            </w:r>
          </w:p>
          <w:p w14:paraId="624D2F07" w14:textId="77777777" w:rsidR="00647ACB" w:rsidRDefault="00647ACB" w:rsidP="005F70CE">
            <w:pPr>
              <w:pStyle w:val="TableParagraph"/>
              <w:numPr>
                <w:ilvl w:val="0"/>
                <w:numId w:val="2"/>
              </w:numPr>
              <w:spacing w:line="252" w:lineRule="exact"/>
              <w:ind w:right="177"/>
            </w:pPr>
            <w:r>
              <w:t>See the situations where the opt-out will not apply</w:t>
            </w:r>
          </w:p>
          <w:p w14:paraId="461219FA" w14:textId="77777777" w:rsidR="00647ACB" w:rsidRDefault="00647ACB" w:rsidP="00647ACB">
            <w:pPr>
              <w:pStyle w:val="TableParagraph"/>
              <w:spacing w:line="252" w:lineRule="exact"/>
              <w:ind w:right="177"/>
            </w:pPr>
          </w:p>
          <w:p w14:paraId="3F7B5E04" w14:textId="77777777" w:rsidR="00647ACB" w:rsidRDefault="00647ACB" w:rsidP="00647ACB">
            <w:pPr>
              <w:pStyle w:val="TableParagraph"/>
              <w:spacing w:line="252" w:lineRule="exact"/>
              <w:ind w:right="177"/>
            </w:pPr>
            <w:r>
              <w:t>You can also find out more about how patient information is used at:</w:t>
            </w:r>
          </w:p>
          <w:p w14:paraId="7AD2A341" w14:textId="77777777" w:rsidR="00647ACB" w:rsidRDefault="00B207D2" w:rsidP="00647ACB">
            <w:pPr>
              <w:pStyle w:val="TableParagraph"/>
              <w:spacing w:line="252" w:lineRule="exact"/>
              <w:ind w:right="177"/>
            </w:pPr>
            <w:hyperlink r:id="rId8" w:history="1">
              <w:r w:rsidR="005F70CE" w:rsidRPr="00306A7A">
                <w:rPr>
                  <w:rStyle w:val="Hyperlink"/>
                </w:rPr>
                <w:t>https://www.hra.nhs.uk/information-about-patients</w:t>
              </w:r>
            </w:hyperlink>
            <w:r w:rsidR="005F70CE">
              <w:t xml:space="preserve"> </w:t>
            </w:r>
            <w:r w:rsidR="00647ACB">
              <w:t xml:space="preserve"> (which covers health and care research); and</w:t>
            </w:r>
          </w:p>
          <w:p w14:paraId="7DCDF2B7" w14:textId="77777777" w:rsidR="005F70CE" w:rsidRDefault="00B207D2" w:rsidP="00647ACB">
            <w:pPr>
              <w:pStyle w:val="TableParagraph"/>
              <w:spacing w:line="252" w:lineRule="exact"/>
              <w:ind w:right="177"/>
            </w:pPr>
            <w:hyperlink r:id="rId9" w:history="1">
              <w:r w:rsidR="005F70CE" w:rsidRPr="00306A7A">
                <w:rPr>
                  <w:rStyle w:val="Hyperlink"/>
                </w:rPr>
                <w:t>https://understandingpatientdata.org.uk/introducing-patient-data</w:t>
              </w:r>
            </w:hyperlink>
          </w:p>
          <w:p w14:paraId="60E54B4B" w14:textId="77777777" w:rsidR="00647ACB" w:rsidRDefault="00647ACB" w:rsidP="00647ACB">
            <w:pPr>
              <w:pStyle w:val="TableParagraph"/>
              <w:spacing w:line="252" w:lineRule="exact"/>
              <w:ind w:right="177"/>
            </w:pPr>
            <w:r>
              <w:t>(which covers how and why patient information is used, the safeguards and how decisions are made)</w:t>
            </w:r>
          </w:p>
          <w:p w14:paraId="57865CFA" w14:textId="77777777" w:rsidR="00647ACB" w:rsidRDefault="00647ACB" w:rsidP="00647ACB">
            <w:pPr>
              <w:pStyle w:val="TableParagraph"/>
              <w:spacing w:line="252" w:lineRule="exact"/>
              <w:ind w:right="177"/>
            </w:pPr>
          </w:p>
          <w:p w14:paraId="58A9CFC4" w14:textId="77777777" w:rsidR="00647ACB" w:rsidRDefault="00647ACB" w:rsidP="00647ACB">
            <w:pPr>
              <w:pStyle w:val="TableParagraph"/>
              <w:spacing w:line="252" w:lineRule="exact"/>
              <w:ind w:right="177"/>
            </w:pPr>
            <w:r>
              <w:t>You can change your mind about your choice at any time.</w:t>
            </w:r>
          </w:p>
          <w:p w14:paraId="05947018" w14:textId="77777777" w:rsidR="00647ACB" w:rsidRDefault="00647ACB" w:rsidP="00647ACB">
            <w:pPr>
              <w:pStyle w:val="TableParagraph"/>
              <w:spacing w:line="252" w:lineRule="exact"/>
              <w:ind w:right="177"/>
            </w:pPr>
          </w:p>
          <w:p w14:paraId="2A9CECB0" w14:textId="77777777" w:rsidR="00647ACB" w:rsidRDefault="00647ACB" w:rsidP="00647ACB">
            <w:pPr>
              <w:pStyle w:val="TableParagraph"/>
              <w:spacing w:line="252" w:lineRule="exact"/>
              <w:ind w:right="177"/>
            </w:pPr>
            <w:r>
              <w:t>Data being used or shared for purposes beyond individual care does not include your data being shared with insurance companies or used for marketing purposes and data would only be used in this way with your specific agreement.</w:t>
            </w:r>
          </w:p>
          <w:p w14:paraId="049CC645" w14:textId="77777777" w:rsidR="005A64CB" w:rsidRDefault="005A64CB" w:rsidP="005F70CE">
            <w:pPr>
              <w:pStyle w:val="TableParagraph"/>
              <w:spacing w:line="252" w:lineRule="exact"/>
              <w:ind w:right="177"/>
            </w:pPr>
          </w:p>
          <w:p w14:paraId="29A5DAC4" w14:textId="1F7F9C7A" w:rsidR="00647ACB" w:rsidRDefault="00647ACB" w:rsidP="00B207D2">
            <w:pPr>
              <w:pStyle w:val="TableParagraph"/>
              <w:spacing w:line="252" w:lineRule="exact"/>
              <w:ind w:right="177"/>
            </w:pPr>
            <w:r w:rsidRPr="00B207D2">
              <w:t>In circumstances where it is necessary to share information for compliance with the Data Protection Bill 2018, Schedule 1, Part 2(11)(2) NEL has an obligation to enact its ‘protective function’ and this may, in</w:t>
            </w:r>
            <w:r w:rsidR="005A64CB" w:rsidRPr="00B207D2">
              <w:t xml:space="preserve"> </w:t>
            </w:r>
            <w:r w:rsidRPr="00B207D2">
              <w:t>some instances, override the subjects right to object.</w:t>
            </w:r>
            <w:bookmarkStart w:id="0" w:name="_GoBack"/>
            <w:bookmarkEnd w:id="0"/>
          </w:p>
        </w:tc>
      </w:tr>
      <w:tr w:rsidR="00E92E14" w14:paraId="3A42E928" w14:textId="77777777">
        <w:trPr>
          <w:trHeight w:val="506"/>
        </w:trPr>
        <w:tc>
          <w:tcPr>
            <w:tcW w:w="3229" w:type="dxa"/>
          </w:tcPr>
          <w:p w14:paraId="07282C24" w14:textId="77777777" w:rsidR="00E92E14" w:rsidRDefault="00FB6794">
            <w:pPr>
              <w:pStyle w:val="TableParagraph"/>
              <w:spacing w:line="254" w:lineRule="exact"/>
              <w:ind w:right="107"/>
              <w:rPr>
                <w:b/>
              </w:rPr>
            </w:pPr>
            <w:r>
              <w:lastRenderedPageBreak/>
              <w:t xml:space="preserve"> </w:t>
            </w:r>
            <w:r w:rsidR="00D566F1">
              <w:t>7)</w:t>
            </w:r>
            <w:r w:rsidR="00D566F1">
              <w:rPr>
                <w:spacing w:val="-8"/>
              </w:rPr>
              <w:t xml:space="preserve"> </w:t>
            </w:r>
            <w:r w:rsidR="00D566F1">
              <w:rPr>
                <w:b/>
              </w:rPr>
              <w:t>Right</w:t>
            </w:r>
            <w:r w:rsidR="00D566F1">
              <w:rPr>
                <w:b/>
                <w:spacing w:val="-9"/>
              </w:rPr>
              <w:t xml:space="preserve"> </w:t>
            </w:r>
            <w:r w:rsidR="00D566F1">
              <w:rPr>
                <w:b/>
              </w:rPr>
              <w:t>to</w:t>
            </w:r>
            <w:r w:rsidR="00D566F1">
              <w:rPr>
                <w:b/>
                <w:spacing w:val="-9"/>
              </w:rPr>
              <w:t xml:space="preserve"> </w:t>
            </w:r>
            <w:r w:rsidR="00D566F1">
              <w:rPr>
                <w:b/>
              </w:rPr>
              <w:t>access</w:t>
            </w:r>
            <w:r w:rsidR="00D566F1">
              <w:rPr>
                <w:b/>
                <w:spacing w:val="-10"/>
              </w:rPr>
              <w:t xml:space="preserve"> </w:t>
            </w:r>
            <w:r w:rsidR="00D566F1">
              <w:rPr>
                <w:b/>
              </w:rPr>
              <w:t xml:space="preserve">and </w:t>
            </w:r>
            <w:r w:rsidR="00D566F1">
              <w:rPr>
                <w:b/>
                <w:spacing w:val="-2"/>
              </w:rPr>
              <w:t>correct</w:t>
            </w:r>
          </w:p>
        </w:tc>
        <w:tc>
          <w:tcPr>
            <w:tcW w:w="7372" w:type="dxa"/>
          </w:tcPr>
          <w:p w14:paraId="2B320DA9" w14:textId="77777777" w:rsidR="00E92E14" w:rsidRDefault="00D566F1">
            <w:pPr>
              <w:pStyle w:val="TableParagraph"/>
              <w:spacing w:line="254" w:lineRule="exact"/>
              <w:ind w:right="177"/>
            </w:pPr>
            <w:r>
              <w:t>You</w:t>
            </w:r>
            <w:r>
              <w:rPr>
                <w:spacing w:val="-3"/>
              </w:rPr>
              <w:t xml:space="preserve"> </w:t>
            </w:r>
            <w:r>
              <w:t>have</w:t>
            </w:r>
            <w:r>
              <w:rPr>
                <w:spacing w:val="-5"/>
              </w:rPr>
              <w:t xml:space="preserve"> </w:t>
            </w:r>
            <w:r>
              <w:t>the</w:t>
            </w:r>
            <w:r>
              <w:rPr>
                <w:spacing w:val="-5"/>
              </w:rPr>
              <w:t xml:space="preserve"> </w:t>
            </w:r>
            <w:r>
              <w:t>right</w:t>
            </w:r>
            <w:r>
              <w:rPr>
                <w:spacing w:val="-4"/>
              </w:rPr>
              <w:t xml:space="preserve"> </w:t>
            </w:r>
            <w:r>
              <w:t>to</w:t>
            </w:r>
            <w:r>
              <w:rPr>
                <w:spacing w:val="-5"/>
              </w:rPr>
              <w:t xml:space="preserve"> </w:t>
            </w:r>
            <w:r>
              <w:t>access</w:t>
            </w:r>
            <w:r>
              <w:rPr>
                <w:spacing w:val="-1"/>
              </w:rPr>
              <w:t xml:space="preserve"> </w:t>
            </w:r>
            <w:r>
              <w:t>any</w:t>
            </w:r>
            <w:r>
              <w:rPr>
                <w:spacing w:val="-5"/>
              </w:rPr>
              <w:t xml:space="preserve"> </w:t>
            </w:r>
            <w:r>
              <w:t>identifiable</w:t>
            </w:r>
            <w:r>
              <w:rPr>
                <w:spacing w:val="-2"/>
              </w:rPr>
              <w:t xml:space="preserve"> </w:t>
            </w:r>
            <w:r>
              <w:t>data</w:t>
            </w:r>
            <w:r>
              <w:rPr>
                <w:spacing w:val="-6"/>
              </w:rPr>
              <w:t xml:space="preserve"> </w:t>
            </w:r>
            <w:r>
              <w:t>that</w:t>
            </w:r>
            <w:r>
              <w:rPr>
                <w:spacing w:val="-4"/>
              </w:rPr>
              <w:t xml:space="preserve"> </w:t>
            </w:r>
            <w:r>
              <w:t>is</w:t>
            </w:r>
            <w:r>
              <w:rPr>
                <w:spacing w:val="-2"/>
              </w:rPr>
              <w:t xml:space="preserve"> </w:t>
            </w:r>
            <w:r>
              <w:t>being</w:t>
            </w:r>
            <w:r>
              <w:rPr>
                <w:spacing w:val="-3"/>
              </w:rPr>
              <w:t xml:space="preserve"> </w:t>
            </w:r>
            <w:r>
              <w:t>shared and have any inaccuracies corrected.</w:t>
            </w:r>
          </w:p>
        </w:tc>
      </w:tr>
      <w:tr w:rsidR="00E92E14" w14:paraId="516ED2AE" w14:textId="77777777">
        <w:trPr>
          <w:trHeight w:val="504"/>
        </w:trPr>
        <w:tc>
          <w:tcPr>
            <w:tcW w:w="3229" w:type="dxa"/>
          </w:tcPr>
          <w:p w14:paraId="33F7786D" w14:textId="77777777" w:rsidR="00E92E14" w:rsidRDefault="00D566F1">
            <w:pPr>
              <w:pStyle w:val="TableParagraph"/>
              <w:spacing w:line="251" w:lineRule="exact"/>
              <w:rPr>
                <w:b/>
              </w:rPr>
            </w:pPr>
            <w:r>
              <w:t>8</w:t>
            </w:r>
            <w:r>
              <w:rPr>
                <w:b/>
              </w:rPr>
              <w:t>)</w:t>
            </w:r>
            <w:r>
              <w:rPr>
                <w:b/>
                <w:spacing w:val="-4"/>
              </w:rPr>
              <w:t xml:space="preserve"> </w:t>
            </w:r>
            <w:r>
              <w:rPr>
                <w:b/>
              </w:rPr>
              <w:t>Retention</w:t>
            </w:r>
            <w:r>
              <w:rPr>
                <w:b/>
                <w:spacing w:val="-7"/>
              </w:rPr>
              <w:t xml:space="preserve"> </w:t>
            </w:r>
            <w:r>
              <w:rPr>
                <w:b/>
                <w:spacing w:val="-2"/>
              </w:rPr>
              <w:t>period</w:t>
            </w:r>
          </w:p>
        </w:tc>
        <w:tc>
          <w:tcPr>
            <w:tcW w:w="7372" w:type="dxa"/>
          </w:tcPr>
          <w:p w14:paraId="37D3BFB8" w14:textId="77777777" w:rsidR="00E92E14" w:rsidRDefault="00D566F1">
            <w:pPr>
              <w:pStyle w:val="TableParagraph"/>
              <w:spacing w:line="254" w:lineRule="exact"/>
            </w:pPr>
            <w:r>
              <w:t>The</w:t>
            </w:r>
            <w:r>
              <w:rPr>
                <w:spacing w:val="-3"/>
              </w:rPr>
              <w:t xml:space="preserve"> </w:t>
            </w:r>
            <w:r>
              <w:t>data</w:t>
            </w:r>
            <w:r>
              <w:rPr>
                <w:spacing w:val="-5"/>
              </w:rPr>
              <w:t xml:space="preserve"> </w:t>
            </w:r>
            <w:r>
              <w:t>will</w:t>
            </w:r>
            <w:r>
              <w:rPr>
                <w:spacing w:val="-3"/>
              </w:rPr>
              <w:t xml:space="preserve"> </w:t>
            </w:r>
            <w:r>
              <w:t>be</w:t>
            </w:r>
            <w:r>
              <w:rPr>
                <w:spacing w:val="-3"/>
              </w:rPr>
              <w:t xml:space="preserve"> </w:t>
            </w:r>
            <w:r>
              <w:t>retained</w:t>
            </w:r>
            <w:r>
              <w:rPr>
                <w:spacing w:val="-3"/>
              </w:rPr>
              <w:t xml:space="preserve"> </w:t>
            </w:r>
            <w:r>
              <w:t>for</w:t>
            </w:r>
            <w:r>
              <w:rPr>
                <w:spacing w:val="-4"/>
              </w:rPr>
              <w:t xml:space="preserve"> </w:t>
            </w:r>
            <w:r>
              <w:t>the</w:t>
            </w:r>
            <w:r>
              <w:rPr>
                <w:spacing w:val="-3"/>
              </w:rPr>
              <w:t xml:space="preserve"> </w:t>
            </w:r>
            <w:r>
              <w:t>period</w:t>
            </w:r>
            <w:r>
              <w:rPr>
                <w:spacing w:val="-3"/>
              </w:rPr>
              <w:t xml:space="preserve"> </w:t>
            </w:r>
            <w:r>
              <w:t>as</w:t>
            </w:r>
            <w:r>
              <w:rPr>
                <w:spacing w:val="-5"/>
              </w:rPr>
              <w:t xml:space="preserve"> </w:t>
            </w:r>
            <w:r>
              <w:t>specified</w:t>
            </w:r>
            <w:r>
              <w:rPr>
                <w:spacing w:val="-3"/>
              </w:rPr>
              <w:t xml:space="preserve"> </w:t>
            </w:r>
            <w:r>
              <w:t>in</w:t>
            </w:r>
            <w:r>
              <w:rPr>
                <w:spacing w:val="-3"/>
              </w:rPr>
              <w:t xml:space="preserve"> </w:t>
            </w:r>
            <w:r>
              <w:t>the</w:t>
            </w:r>
            <w:r>
              <w:rPr>
                <w:spacing w:val="-4"/>
              </w:rPr>
              <w:t xml:space="preserve"> </w:t>
            </w:r>
            <w:hyperlink r:id="rId10">
              <w:r>
                <w:rPr>
                  <w:color w:val="0000FF"/>
                  <w:u w:val="single" w:color="0000FF"/>
                </w:rPr>
                <w:t>National</w:t>
              </w:r>
              <w:r>
                <w:rPr>
                  <w:color w:val="0000FF"/>
                  <w:spacing w:val="-3"/>
                  <w:u w:val="single" w:color="0000FF"/>
                </w:rPr>
                <w:t xml:space="preserve"> </w:t>
              </w:r>
              <w:r>
                <w:rPr>
                  <w:color w:val="0000FF"/>
                  <w:u w:val="single" w:color="0000FF"/>
                </w:rPr>
                <w:t>NHS</w:t>
              </w:r>
            </w:hyperlink>
            <w:r>
              <w:rPr>
                <w:color w:val="0000FF"/>
              </w:rPr>
              <w:t xml:space="preserve"> </w:t>
            </w:r>
            <w:hyperlink r:id="rId11">
              <w:r>
                <w:rPr>
                  <w:color w:val="0000FF"/>
                  <w:u w:val="single" w:color="0000FF"/>
                </w:rPr>
                <w:t>Records Code of Practice Retention Schedule</w:t>
              </w:r>
            </w:hyperlink>
          </w:p>
        </w:tc>
      </w:tr>
      <w:tr w:rsidR="00E92E14" w14:paraId="6FDCEC53" w14:textId="77777777">
        <w:trPr>
          <w:trHeight w:val="1767"/>
        </w:trPr>
        <w:tc>
          <w:tcPr>
            <w:tcW w:w="3229" w:type="dxa"/>
          </w:tcPr>
          <w:p w14:paraId="23953913" w14:textId="77777777" w:rsidR="00E92E14" w:rsidRDefault="00D566F1">
            <w:pPr>
              <w:pStyle w:val="TableParagraph"/>
              <w:spacing w:line="249" w:lineRule="exact"/>
            </w:pPr>
            <w:r>
              <w:t>9)</w:t>
            </w:r>
            <w:r>
              <w:rPr>
                <w:spacing w:val="59"/>
              </w:rPr>
              <w:t xml:space="preserve"> </w:t>
            </w:r>
            <w:r>
              <w:rPr>
                <w:b/>
              </w:rPr>
              <w:t>Right</w:t>
            </w:r>
            <w:r>
              <w:rPr>
                <w:b/>
                <w:spacing w:val="-2"/>
              </w:rPr>
              <w:t xml:space="preserve"> </w:t>
            </w:r>
            <w:r>
              <w:rPr>
                <w:b/>
              </w:rPr>
              <w:t>to</w:t>
            </w:r>
            <w:r>
              <w:rPr>
                <w:b/>
                <w:spacing w:val="-2"/>
              </w:rPr>
              <w:t xml:space="preserve"> Complain</w:t>
            </w:r>
            <w:r>
              <w:rPr>
                <w:spacing w:val="-2"/>
              </w:rPr>
              <w:t>.</w:t>
            </w:r>
          </w:p>
        </w:tc>
        <w:tc>
          <w:tcPr>
            <w:tcW w:w="7372" w:type="dxa"/>
          </w:tcPr>
          <w:p w14:paraId="2EBB5BE7" w14:textId="77777777" w:rsidR="00E92E14" w:rsidRDefault="00D566F1">
            <w:pPr>
              <w:pStyle w:val="TableParagraph"/>
              <w:ind w:right="177"/>
            </w:pPr>
            <w:r>
              <w:t>You</w:t>
            </w:r>
            <w:r>
              <w:rPr>
                <w:spacing w:val="-3"/>
              </w:rPr>
              <w:t xml:space="preserve"> </w:t>
            </w:r>
            <w:r>
              <w:t>have</w:t>
            </w:r>
            <w:r>
              <w:rPr>
                <w:spacing w:val="-5"/>
              </w:rPr>
              <w:t xml:space="preserve"> </w:t>
            </w:r>
            <w:r>
              <w:t>the</w:t>
            </w:r>
            <w:r>
              <w:rPr>
                <w:spacing w:val="-5"/>
              </w:rPr>
              <w:t xml:space="preserve"> </w:t>
            </w:r>
            <w:r>
              <w:t>right</w:t>
            </w:r>
            <w:r>
              <w:rPr>
                <w:spacing w:val="-4"/>
              </w:rPr>
              <w:t xml:space="preserve"> </w:t>
            </w:r>
            <w:r>
              <w:t>to</w:t>
            </w:r>
            <w:r>
              <w:rPr>
                <w:spacing w:val="-5"/>
              </w:rPr>
              <w:t xml:space="preserve"> </w:t>
            </w:r>
            <w:r>
              <w:t>complain</w:t>
            </w:r>
            <w:r>
              <w:rPr>
                <w:spacing w:val="-3"/>
              </w:rPr>
              <w:t xml:space="preserve"> </w:t>
            </w:r>
            <w:r>
              <w:t>to</w:t>
            </w:r>
            <w:r>
              <w:rPr>
                <w:spacing w:val="-5"/>
              </w:rPr>
              <w:t xml:space="preserve"> </w:t>
            </w:r>
            <w:r>
              <w:t>the</w:t>
            </w:r>
            <w:r>
              <w:rPr>
                <w:spacing w:val="-5"/>
              </w:rPr>
              <w:t xml:space="preserve"> </w:t>
            </w:r>
            <w:r>
              <w:t>Information</w:t>
            </w:r>
            <w:r>
              <w:rPr>
                <w:spacing w:val="-5"/>
              </w:rPr>
              <w:t xml:space="preserve"> </w:t>
            </w:r>
            <w:r>
              <w:t>Commissioner’s</w:t>
            </w:r>
            <w:r>
              <w:rPr>
                <w:spacing w:val="-5"/>
              </w:rPr>
              <w:t xml:space="preserve"> </w:t>
            </w:r>
            <w:r>
              <w:t xml:space="preserve">Office. You can contact them at this link: </w:t>
            </w:r>
            <w:hyperlink r:id="rId12">
              <w:r>
                <w:rPr>
                  <w:color w:val="0000FF"/>
                  <w:u w:val="single" w:color="0000FF"/>
                </w:rPr>
                <w:t>https://ico.org.uk/global/contact-us/</w:t>
              </w:r>
            </w:hyperlink>
            <w:r>
              <w:rPr>
                <w:color w:val="0000FF"/>
              </w:rPr>
              <w:t xml:space="preserve"> </w:t>
            </w:r>
            <w:r>
              <w:t>or by calling their helpline on 0303 123 1113 (local rate) or 01625 545 745 (national rate).</w:t>
            </w:r>
          </w:p>
          <w:p w14:paraId="64C18A20" w14:textId="77777777" w:rsidR="00E92E14" w:rsidRDefault="00D566F1">
            <w:pPr>
              <w:pStyle w:val="TableParagraph"/>
              <w:ind w:right="212"/>
            </w:pPr>
            <w:r>
              <w:t>There</w:t>
            </w:r>
            <w:r>
              <w:rPr>
                <w:spacing w:val="-3"/>
              </w:rPr>
              <w:t xml:space="preserve"> </w:t>
            </w:r>
            <w:r>
              <w:t>are</w:t>
            </w:r>
            <w:r>
              <w:rPr>
                <w:spacing w:val="-4"/>
              </w:rPr>
              <w:t xml:space="preserve"> </w:t>
            </w:r>
            <w:r>
              <w:t>National</w:t>
            </w:r>
            <w:r>
              <w:rPr>
                <w:spacing w:val="-7"/>
              </w:rPr>
              <w:t xml:space="preserve"> </w:t>
            </w:r>
            <w:r>
              <w:t>Offices</w:t>
            </w:r>
            <w:r>
              <w:rPr>
                <w:spacing w:val="-4"/>
              </w:rPr>
              <w:t xml:space="preserve"> </w:t>
            </w:r>
            <w:r>
              <w:t>for</w:t>
            </w:r>
            <w:r>
              <w:rPr>
                <w:spacing w:val="-3"/>
              </w:rPr>
              <w:t xml:space="preserve"> </w:t>
            </w:r>
            <w:r>
              <w:t>Scotland,</w:t>
            </w:r>
            <w:r>
              <w:rPr>
                <w:spacing w:val="-5"/>
              </w:rPr>
              <w:t xml:space="preserve"> </w:t>
            </w:r>
            <w:r>
              <w:t>Northern</w:t>
            </w:r>
            <w:r>
              <w:rPr>
                <w:spacing w:val="-6"/>
              </w:rPr>
              <w:t xml:space="preserve"> </w:t>
            </w:r>
            <w:r>
              <w:t>Ireland</w:t>
            </w:r>
            <w:r>
              <w:rPr>
                <w:spacing w:val="-4"/>
              </w:rPr>
              <w:t xml:space="preserve"> </w:t>
            </w:r>
            <w:r>
              <w:t>and</w:t>
            </w:r>
            <w:r>
              <w:rPr>
                <w:spacing w:val="-6"/>
              </w:rPr>
              <w:t xml:space="preserve"> </w:t>
            </w:r>
            <w:r>
              <w:t>Wales, (see ICO website).</w:t>
            </w:r>
          </w:p>
        </w:tc>
      </w:tr>
    </w:tbl>
    <w:p w14:paraId="09633247" w14:textId="77777777" w:rsidR="00FB6794" w:rsidRDefault="00FB6794">
      <w:pPr>
        <w:pStyle w:val="BodyText"/>
        <w:ind w:left="100"/>
      </w:pPr>
      <w:r>
        <w:t xml:space="preserve">   </w:t>
      </w:r>
    </w:p>
    <w:p w14:paraId="7F9687A5" w14:textId="77777777" w:rsidR="003D4B4B" w:rsidRDefault="00FB6794">
      <w:pPr>
        <w:pStyle w:val="BodyText"/>
        <w:ind w:left="100"/>
      </w:pPr>
      <w:r>
        <w:t xml:space="preserve">           </w:t>
      </w:r>
    </w:p>
    <w:p w14:paraId="16AE8BAD" w14:textId="77777777" w:rsidR="003D4B4B" w:rsidRDefault="003D4B4B">
      <w:pPr>
        <w:pStyle w:val="BodyText"/>
        <w:ind w:left="100"/>
      </w:pPr>
    </w:p>
    <w:p w14:paraId="1859F8FC" w14:textId="77777777" w:rsidR="003D4B4B" w:rsidRDefault="003D4B4B">
      <w:pPr>
        <w:pStyle w:val="BodyText"/>
        <w:ind w:left="100"/>
      </w:pPr>
    </w:p>
    <w:p w14:paraId="1012E4F6" w14:textId="77777777" w:rsidR="003D4B4B" w:rsidRDefault="003D4B4B">
      <w:pPr>
        <w:pStyle w:val="BodyText"/>
        <w:ind w:left="100"/>
      </w:pPr>
    </w:p>
    <w:p w14:paraId="07AB8222" w14:textId="77777777" w:rsidR="003D4B4B" w:rsidRDefault="003D4B4B">
      <w:pPr>
        <w:pStyle w:val="BodyText"/>
        <w:ind w:left="100"/>
      </w:pPr>
    </w:p>
    <w:p w14:paraId="35E45926" w14:textId="77777777" w:rsidR="003D4B4B" w:rsidRDefault="003D4B4B">
      <w:pPr>
        <w:pStyle w:val="BodyText"/>
        <w:ind w:left="100"/>
      </w:pPr>
    </w:p>
    <w:p w14:paraId="7B94AD5D" w14:textId="77777777" w:rsidR="003D4B4B" w:rsidRDefault="003D4B4B">
      <w:pPr>
        <w:pStyle w:val="BodyText"/>
        <w:ind w:left="100"/>
      </w:pPr>
    </w:p>
    <w:p w14:paraId="520FC1E6" w14:textId="77777777" w:rsidR="003D4B4B" w:rsidRDefault="003D4B4B">
      <w:pPr>
        <w:pStyle w:val="BodyText"/>
        <w:ind w:left="100"/>
      </w:pPr>
    </w:p>
    <w:p w14:paraId="1394E32E" w14:textId="77777777" w:rsidR="003D4B4B" w:rsidRDefault="003D4B4B">
      <w:pPr>
        <w:pStyle w:val="BodyText"/>
        <w:ind w:left="100"/>
      </w:pPr>
    </w:p>
    <w:p w14:paraId="04C63904" w14:textId="77777777" w:rsidR="003D4B4B" w:rsidRDefault="003D4B4B">
      <w:pPr>
        <w:pStyle w:val="BodyText"/>
        <w:ind w:left="100"/>
      </w:pPr>
    </w:p>
    <w:p w14:paraId="05F9852A" w14:textId="77777777" w:rsidR="003D4B4B" w:rsidRDefault="003D4B4B">
      <w:pPr>
        <w:pStyle w:val="BodyText"/>
        <w:ind w:left="100"/>
      </w:pPr>
    </w:p>
    <w:p w14:paraId="65BE1264" w14:textId="77777777" w:rsidR="003D4B4B" w:rsidRDefault="003D4B4B">
      <w:pPr>
        <w:pStyle w:val="BodyText"/>
        <w:ind w:left="100"/>
      </w:pPr>
    </w:p>
    <w:p w14:paraId="3A74380B" w14:textId="77777777" w:rsidR="003D4B4B" w:rsidRDefault="003D4B4B">
      <w:pPr>
        <w:pStyle w:val="BodyText"/>
        <w:ind w:left="100"/>
      </w:pPr>
    </w:p>
    <w:p w14:paraId="0ED4F616" w14:textId="77777777" w:rsidR="003D4B4B" w:rsidRDefault="003D4B4B">
      <w:pPr>
        <w:pStyle w:val="BodyText"/>
        <w:ind w:left="100"/>
      </w:pPr>
    </w:p>
    <w:p w14:paraId="36934DAD" w14:textId="77777777" w:rsidR="003D4B4B" w:rsidRDefault="003D4B4B">
      <w:pPr>
        <w:pStyle w:val="BodyText"/>
        <w:ind w:left="100"/>
      </w:pPr>
    </w:p>
    <w:p w14:paraId="42DD1A3E" w14:textId="77777777" w:rsidR="003D4B4B" w:rsidRDefault="003D4B4B">
      <w:pPr>
        <w:pStyle w:val="BodyText"/>
        <w:ind w:left="100"/>
      </w:pPr>
    </w:p>
    <w:p w14:paraId="5EB64F08" w14:textId="77777777" w:rsidR="003D4B4B" w:rsidRDefault="003D4B4B">
      <w:pPr>
        <w:pStyle w:val="BodyText"/>
        <w:ind w:left="100"/>
      </w:pPr>
    </w:p>
    <w:p w14:paraId="6D7F9D2A" w14:textId="77777777" w:rsidR="003D4B4B" w:rsidRDefault="003D4B4B">
      <w:pPr>
        <w:pStyle w:val="BodyText"/>
        <w:ind w:left="100"/>
      </w:pPr>
    </w:p>
    <w:p w14:paraId="2138A65F" w14:textId="77777777" w:rsidR="003D4B4B" w:rsidRDefault="003D4B4B">
      <w:pPr>
        <w:pStyle w:val="BodyText"/>
        <w:ind w:left="100"/>
      </w:pPr>
    </w:p>
    <w:p w14:paraId="39CAD30D" w14:textId="77777777" w:rsidR="003D4B4B" w:rsidRDefault="003D4B4B">
      <w:pPr>
        <w:pStyle w:val="BodyText"/>
        <w:ind w:left="100"/>
      </w:pPr>
    </w:p>
    <w:p w14:paraId="2BEE1734" w14:textId="77777777" w:rsidR="003D4B4B" w:rsidRDefault="003D4B4B">
      <w:pPr>
        <w:pStyle w:val="BodyText"/>
        <w:ind w:left="100"/>
      </w:pPr>
    </w:p>
    <w:p w14:paraId="6CE63D64" w14:textId="77777777" w:rsidR="003D4B4B" w:rsidRDefault="003D4B4B">
      <w:pPr>
        <w:pStyle w:val="BodyText"/>
        <w:ind w:left="100"/>
      </w:pPr>
    </w:p>
    <w:p w14:paraId="19D90BB6" w14:textId="77777777" w:rsidR="003D4B4B" w:rsidRDefault="003D4B4B">
      <w:pPr>
        <w:pStyle w:val="BodyText"/>
        <w:ind w:left="100"/>
      </w:pPr>
    </w:p>
    <w:p w14:paraId="2707BB4C" w14:textId="77777777" w:rsidR="003D4B4B" w:rsidRDefault="003D4B4B">
      <w:pPr>
        <w:pStyle w:val="BodyText"/>
        <w:ind w:left="100"/>
      </w:pPr>
    </w:p>
    <w:p w14:paraId="65A3286E" w14:textId="77777777" w:rsidR="003D4B4B" w:rsidRDefault="003D4B4B">
      <w:pPr>
        <w:pStyle w:val="BodyText"/>
        <w:ind w:left="100"/>
      </w:pPr>
    </w:p>
    <w:p w14:paraId="6AD43EF8" w14:textId="77777777" w:rsidR="003D4B4B" w:rsidRDefault="003D4B4B">
      <w:pPr>
        <w:pStyle w:val="BodyText"/>
        <w:ind w:left="100"/>
      </w:pPr>
    </w:p>
    <w:p w14:paraId="3E8B9850" w14:textId="77777777" w:rsidR="003D4B4B" w:rsidRDefault="003D4B4B">
      <w:pPr>
        <w:pStyle w:val="BodyText"/>
        <w:ind w:left="100"/>
      </w:pPr>
    </w:p>
    <w:p w14:paraId="32E5E6F5" w14:textId="77777777" w:rsidR="003D4B4B" w:rsidRDefault="003D4B4B">
      <w:pPr>
        <w:pStyle w:val="BodyText"/>
        <w:ind w:left="100"/>
      </w:pPr>
    </w:p>
    <w:p w14:paraId="212929CD" w14:textId="77777777" w:rsidR="003D4B4B" w:rsidRDefault="003D4B4B">
      <w:pPr>
        <w:pStyle w:val="BodyText"/>
        <w:ind w:left="100"/>
      </w:pPr>
    </w:p>
    <w:p w14:paraId="3D8C86AA" w14:textId="041853BD" w:rsidR="00E92E14" w:rsidRDefault="003D4B4B">
      <w:pPr>
        <w:pStyle w:val="BodyText"/>
        <w:ind w:left="100"/>
      </w:pPr>
      <w:r>
        <w:t xml:space="preserve">     </w:t>
      </w:r>
      <w:r w:rsidR="00FB6794">
        <w:t xml:space="preserve"> PN17 </w:t>
      </w:r>
      <w:r w:rsidR="00D566F1">
        <w:t>NHS</w:t>
      </w:r>
      <w:r w:rsidR="00D566F1">
        <w:rPr>
          <w:spacing w:val="-5"/>
        </w:rPr>
        <w:t xml:space="preserve"> </w:t>
      </w:r>
      <w:r w:rsidR="00D566F1">
        <w:t>North</w:t>
      </w:r>
      <w:r w:rsidR="00D566F1">
        <w:rPr>
          <w:spacing w:val="-4"/>
        </w:rPr>
        <w:t xml:space="preserve"> </w:t>
      </w:r>
      <w:r w:rsidR="00D566F1">
        <w:t>East</w:t>
      </w:r>
      <w:r w:rsidR="00D566F1">
        <w:rPr>
          <w:spacing w:val="-6"/>
        </w:rPr>
        <w:t xml:space="preserve"> </w:t>
      </w:r>
      <w:r w:rsidR="00D566F1">
        <w:t>London</w:t>
      </w:r>
      <w:r w:rsidR="00D566F1">
        <w:rPr>
          <w:spacing w:val="-6"/>
        </w:rPr>
        <w:t xml:space="preserve"> </w:t>
      </w:r>
      <w:r w:rsidR="00D566F1">
        <w:t>Privacy</w:t>
      </w:r>
      <w:r w:rsidR="00D566F1">
        <w:rPr>
          <w:spacing w:val="-4"/>
        </w:rPr>
        <w:t xml:space="preserve"> </w:t>
      </w:r>
      <w:r w:rsidR="00D566F1">
        <w:t>Notice</w:t>
      </w:r>
      <w:r w:rsidR="00D566F1">
        <w:rPr>
          <w:spacing w:val="-2"/>
        </w:rPr>
        <w:t xml:space="preserve"> </w:t>
      </w:r>
      <w:r w:rsidR="00D566F1">
        <w:t>–</w:t>
      </w:r>
      <w:r w:rsidR="00D566F1">
        <w:rPr>
          <w:spacing w:val="-6"/>
        </w:rPr>
        <w:t xml:space="preserve"> </w:t>
      </w:r>
      <w:r w:rsidR="00FB6794">
        <w:rPr>
          <w:spacing w:val="-6"/>
        </w:rPr>
        <w:t xml:space="preserve">National Data Opt-out updated May 2023 </w:t>
      </w:r>
    </w:p>
    <w:sectPr w:rsidR="00E92E14">
      <w:type w:val="continuous"/>
      <w:pgSz w:w="11910" w:h="16840"/>
      <w:pgMar w:top="260" w:right="4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14624"/>
    <w:multiLevelType w:val="hybridMultilevel"/>
    <w:tmpl w:val="4174870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5E9D7AB3"/>
    <w:multiLevelType w:val="hybridMultilevel"/>
    <w:tmpl w:val="048E37B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706116A8"/>
    <w:multiLevelType w:val="hybridMultilevel"/>
    <w:tmpl w:val="C40A2FA0"/>
    <w:lvl w:ilvl="0" w:tplc="E03C042E">
      <w:numFmt w:val="bullet"/>
      <w:lvlText w:val="•"/>
      <w:lvlJc w:val="left"/>
      <w:pPr>
        <w:ind w:left="722" w:hanging="615"/>
      </w:pPr>
      <w:rPr>
        <w:rFonts w:ascii="Arial" w:eastAsia="Arial"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14"/>
    <w:rsid w:val="003D4B4B"/>
    <w:rsid w:val="004354C0"/>
    <w:rsid w:val="005A64CB"/>
    <w:rsid w:val="005F70CE"/>
    <w:rsid w:val="00647ACB"/>
    <w:rsid w:val="00B207D2"/>
    <w:rsid w:val="00D566F1"/>
    <w:rsid w:val="00E92E14"/>
    <w:rsid w:val="00FB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5713"/>
  <w15:docId w15:val="{717D4A95-1D40-4CDC-BC99-1CB241A1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spacing w:before="5"/>
      <w:ind w:left="708"/>
    </w:pPr>
    <w:rPr>
      <w:rFonts w:ascii="Calibri" w:eastAsia="Calibri" w:hAnsi="Calibri" w:cs="Calibri"/>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F70CE"/>
    <w:rPr>
      <w:color w:val="0000FF" w:themeColor="hyperlink"/>
      <w:u w:val="single"/>
    </w:rPr>
  </w:style>
  <w:style w:type="character" w:styleId="UnresolvedMention">
    <w:name w:val="Unresolved Mention"/>
    <w:basedOn w:val="DefaultParagraphFont"/>
    <w:uiPriority w:val="99"/>
    <w:semiHidden/>
    <w:unhideWhenUsed/>
    <w:rsid w:val="005F70CE"/>
    <w:rPr>
      <w:color w:val="605E5C"/>
      <w:shd w:val="clear" w:color="auto" w:fill="E1DFDD"/>
    </w:rPr>
  </w:style>
  <w:style w:type="character" w:styleId="CommentReference">
    <w:name w:val="annotation reference"/>
    <w:basedOn w:val="DefaultParagraphFont"/>
    <w:uiPriority w:val="99"/>
    <w:semiHidden/>
    <w:unhideWhenUsed/>
    <w:rsid w:val="005F70CE"/>
    <w:rPr>
      <w:sz w:val="16"/>
      <w:szCs w:val="16"/>
    </w:rPr>
  </w:style>
  <w:style w:type="paragraph" w:styleId="CommentText">
    <w:name w:val="annotation text"/>
    <w:basedOn w:val="Normal"/>
    <w:link w:val="CommentTextChar"/>
    <w:uiPriority w:val="99"/>
    <w:semiHidden/>
    <w:unhideWhenUsed/>
    <w:rsid w:val="005F70CE"/>
    <w:rPr>
      <w:sz w:val="20"/>
      <w:szCs w:val="20"/>
    </w:rPr>
  </w:style>
  <w:style w:type="character" w:customStyle="1" w:styleId="CommentTextChar">
    <w:name w:val="Comment Text Char"/>
    <w:basedOn w:val="DefaultParagraphFont"/>
    <w:link w:val="CommentText"/>
    <w:uiPriority w:val="99"/>
    <w:semiHidden/>
    <w:rsid w:val="005F70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70CE"/>
    <w:rPr>
      <w:b/>
      <w:bCs/>
    </w:rPr>
  </w:style>
  <w:style w:type="character" w:customStyle="1" w:styleId="CommentSubjectChar">
    <w:name w:val="Comment Subject Char"/>
    <w:basedOn w:val="CommentTextChar"/>
    <w:link w:val="CommentSubject"/>
    <w:uiPriority w:val="99"/>
    <w:semiHidden/>
    <w:rsid w:val="005F70CE"/>
    <w:rPr>
      <w:rFonts w:ascii="Arial" w:eastAsia="Arial" w:hAnsi="Arial" w:cs="Arial"/>
      <w:b/>
      <w:bCs/>
      <w:sz w:val="20"/>
      <w:szCs w:val="20"/>
    </w:rPr>
  </w:style>
  <w:style w:type="paragraph" w:styleId="BalloonText">
    <w:name w:val="Balloon Text"/>
    <w:basedOn w:val="Normal"/>
    <w:link w:val="BalloonTextChar"/>
    <w:uiPriority w:val="99"/>
    <w:semiHidden/>
    <w:unhideWhenUsed/>
    <w:rsid w:val="005F7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CE"/>
    <w:rPr>
      <w:rFonts w:ascii="Segoe UI" w:eastAsia="Arial" w:hAnsi="Segoe UI" w:cs="Segoe UI"/>
      <w:sz w:val="18"/>
      <w:szCs w:val="18"/>
    </w:rPr>
  </w:style>
  <w:style w:type="paragraph" w:styleId="NoSpacing">
    <w:name w:val="No Spacing"/>
    <w:uiPriority w:val="1"/>
    <w:qFormat/>
    <w:rsid w:val="005A64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ondonicb.ig@nhs.net" TargetMode="External"/><Relationship Id="rId11" Type="http://schemas.openxmlformats.org/officeDocument/2006/relationships/hyperlink" Target="http://www.nhsx.nhs.uk/information-governance/guidance/records-management-code/" TargetMode="External"/><Relationship Id="rId5" Type="http://schemas.openxmlformats.org/officeDocument/2006/relationships/hyperlink" Target="http://www.northeastlondon.icb.nhs.uk/" TargetMode="External"/><Relationship Id="rId10" Type="http://schemas.openxmlformats.org/officeDocument/2006/relationships/hyperlink" Target="http://www.nhsx.nhs.uk/information-governance/guidance/records-management-code/" TargetMode="External"/><Relationship Id="rId4" Type="http://schemas.openxmlformats.org/officeDocument/2006/relationships/webSettings" Target="webSettings.xml"/><Relationship Id="rId9" Type="http://schemas.openxmlformats.org/officeDocument/2006/relationships/hyperlink" Target="https://understandingpatientdata.org.uk/introducing-patient-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Prowse, Natasha - North East London ICB</dc:creator>
  <cp:lastModifiedBy>Sheldrake, Jamie - North East London CCG</cp:lastModifiedBy>
  <cp:revision>3</cp:revision>
  <dcterms:created xsi:type="dcterms:W3CDTF">2023-05-30T12:43:00Z</dcterms:created>
  <dcterms:modified xsi:type="dcterms:W3CDTF">2023-05-30T13:52:00Z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2023-05-30T00:00:00Z</vt:filetime>
  </property>
  <property fmtid="{D5CDD505-2E9C-101B-9397-08002B2CF9AE}" pid="5" name="Producer">
    <vt:lpwstr>Microsoft® Word for Microsoft 365</vt:lpwstr>
  </property>
</Properties>
</file>